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Registro ABC de conducta</w:t>
      </w:r>
    </w:p>
    <w:p>
      <w:pPr>
        <w:pStyle w:val="Entrada"/>
      </w:pPr>
      <w:r>
        <w:t xml:space="preserve">Anota cada episodio por separado, con lenguaje observable y sin etiquetas. Compara varios registros antes de sacar conclusiones sobre qué mantiene la conducta.</w:t>
      </w:r>
    </w:p>
    <w:p>
      <w:pPr>
        <w:spacing w:after="20"/>
      </w:pPr>
      <w:r>
        <w:rPr>
          <w:b/>
          <w:sz w:val="18"/>
          <w:szCs w:val="18"/>
        </w:rPr>
        <w:t xml:space="preserve">Posibles funciones de la conducta (hipótesis para anotar)</w:t>
      </w:r>
    </w:p>
    <w:p>
      <w:pPr>
        <w:spacing w:after="200"/>
      </w:pPr>
      <w:r>
        <w:rPr>
          <w:sz w:val="18"/>
          <w:szCs w:val="18"/>
          <w:color w:val="444444"/>
        </w:rPr>
        <w:t xml:space="preserve">Obtener atención  ·  Obtener algo tangible  ·  Escapar o evitar una demanda  ·  Estimulación sensorial</w:t>
      </w:r>
    </w:p>
    <w:tbl>
      <w:tblPr>
        <w:tblW w:w="9638" w:type="dxa"/>
        <w:tblLayout w:type="fixed"/>
        <w:tblBorders>
          <w:top w:val="single" w:sz="6" w:space="0" w:color="8C8C8C"/>
          <w:left w:val="single" w:sz="6" w:space="0" w:color="8C8C8C"/>
          <w:bottom w:val="single" w:sz="6" w:space="0" w:color="8C8C8C"/>
          <w:right w:val="single" w:sz="6" w:space="0" w:color="8C8C8C"/>
          <w:insideH w:val="single" w:sz="6" w:space="0" w:color="8C8C8C"/>
          <w:insideV w:val="single" w:sz="6" w:space="0" w:color="8C8C8C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1249"/>
        <w:gridCol w:w="2141"/>
        <w:gridCol w:w="2320"/>
        <w:gridCol w:w="2141"/>
        <w:gridCol w:w="1787"/>
      </w:tblGrid>
      <w:tr>
        <w:trPr>
          <w:tblHeader/>
        </w:trPr>
        <w:tc>
          <w:tcPr>
            <w:tcW w:w="1249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Fecha y hora</w:t>
            </w:r>
          </w:p>
        </w:tc>
        <w:tc>
          <w:tcPr>
            <w:tcW w:w="2141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Antecedente (qué pasó antes)</w:t>
            </w:r>
          </w:p>
        </w:tc>
        <w:tc>
          <w:tcPr>
            <w:tcW w:w="2320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Conducta observable</w:t>
            </w:r>
          </w:p>
        </w:tc>
        <w:tc>
          <w:tcPr>
            <w:tcW w:w="2141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Consecuencia (qué pasó después)</w:t>
            </w:r>
          </w:p>
        </w:tc>
        <w:tc>
          <w:tcPr>
            <w:tcW w:w="1787" w:type="dxa"/>
            <w:shd w:val="clear" w:color="auto" w:fill="F2F2F2"/>
            <w:vAlign w:val="top"/>
          </w:tcPr>
          <w:p>
            <w:pPr>
              <w:spacing w:after="0"/>
            </w:pPr>
            <w:r>
              <w:rPr>
                <w:b/>
                <w:sz w:val="18"/>
                <w:szCs w:val="18"/>
              </w:rPr>
              <w:t xml:space="preserve">Función hipotética</w:t>
            </w:r>
          </w:p>
        </w:tc>
      </w:tr>
      <w:tr>
        <w:trPr>
          <w:trHeight w:val="624" w:hRule="atLeast"/>
        </w:trPr>
        <w:tc>
          <w:tcPr>
            <w:tcW w:w="1249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2320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1787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249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2320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1787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249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2320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1787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249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2320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1787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249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2320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1787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249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2320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1787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249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2320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1787" w:type="dxa"/>
            <w:vAlign w:val="top"/>
          </w:tcPr>
          <w:p/>
        </w:tc>
      </w:tr>
      <w:tr>
        <w:trPr>
          <w:trHeight w:val="624" w:hRule="atLeast"/>
        </w:trPr>
        <w:tc>
          <w:tcPr>
            <w:tcW w:w="1249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2320" w:type="dxa"/>
            <w:vAlign w:val="top"/>
          </w:tcPr>
          <w:p/>
        </w:tc>
        <w:tc>
          <w:tcPr>
            <w:tcW w:w="2141" w:type="dxa"/>
            <w:vAlign w:val="top"/>
          </w:tcPr>
          <w:p/>
        </w:tc>
        <w:tc>
          <w:tcPr>
            <w:tcW w:w="1787" w:type="dxa"/>
            <w:vAlign w:val="top"/>
          </w:tcPr>
          <w:p/>
        </w:tc>
      </w:tr>
    </w:tbl>
    <w:p>
      <w:pPr>
        <w:pStyle w:val="Nota"/>
        <w:spacing w:before="160"/>
      </w:pPr>
      <w:r>
        <w:t xml:space="preserve">Describe la conducta por lo que se ve y se oye, sin juicios como “se portó mal”. Una sola fila no basta para concluir; observa el patrón que se repite en varios registros.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Registro ABC de conducta (análisis funcional) PDF</dc:title>
  <dc:creator>psyred.org</dc:creator>
  <cp:lastModifiedBy>psyred.org</cp:lastModifiedBy>
</cp:coreProperties>
</file>